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Одржавање возног парка Градске управе града Зајечара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4"/>
          <w:szCs w:val="24"/>
          <w:lang w:val="sr-RS"/>
        </w:rPr>
      </w:pPr>
      <w:r>
        <w:rPr>
          <w:rFonts w:cs="Arial" w:ascii="Arial" w:hAnsi="Arial"/>
          <w:b/>
          <w:bCs/>
          <w:iCs/>
          <w:sz w:val="24"/>
          <w:szCs w:val="24"/>
          <w:lang w:val="sr-RS"/>
        </w:rPr>
        <w:t xml:space="preserve">Партија </w:t>
      </w:r>
      <w:r>
        <w:rPr>
          <w:rFonts w:cs="Arial" w:ascii="Arial" w:hAnsi="Arial"/>
          <w:b/>
          <w:bCs/>
          <w:iCs/>
          <w:sz w:val="24"/>
          <w:szCs w:val="24"/>
          <w:lang w:val="sr-Latn-RS"/>
        </w:rPr>
        <w:t>3</w:t>
      </w:r>
      <w:r>
        <w:rPr>
          <w:rFonts w:cs="Arial" w:ascii="Arial" w:hAnsi="Arial"/>
          <w:b/>
          <w:bCs/>
          <w:iCs/>
          <w:sz w:val="24"/>
          <w:szCs w:val="24"/>
          <w:lang w:val="sr-RS"/>
        </w:rPr>
        <w:t xml:space="preserve"> – Сервис возила марке </w:t>
      </w:r>
      <w:r>
        <w:rPr>
          <w:rFonts w:cs="Arial" w:ascii="Arial" w:hAnsi="Arial"/>
          <w:b/>
          <w:bCs/>
          <w:iCs/>
          <w:sz w:val="24"/>
          <w:szCs w:val="24"/>
          <w:lang w:val="sr-Latn-RS"/>
        </w:rPr>
        <w:t>OPEL</w:t>
      </w:r>
    </w:p>
    <w:p>
      <w:pPr>
        <w:pStyle w:val="Normal"/>
        <w:rPr>
          <w:rFonts w:ascii="Arial" w:hAnsi="Arial" w:cs="Arial"/>
          <w:b w:val="false"/>
          <w:b w:val="false"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  <w:lang w:val="sr-RS"/>
        </w:rPr>
      </w:pPr>
      <w:r>
        <w:rPr>
          <w:rFonts w:cs="Arial" w:ascii="Arial" w:hAnsi="Arial"/>
          <w:b w:val="false"/>
          <w:bCs/>
          <w:i w:val="false"/>
          <w:iCs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  <w:lang w:val="sr-RS"/>
        </w:rPr>
      </w:r>
    </w:p>
    <w:p>
      <w:pPr>
        <w:pStyle w:val="Normal"/>
        <w:rPr>
          <w:rFonts w:ascii="Arial" w:hAnsi="Arial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УСЛУГЕ ОДРЖАВАЊА ВОЗИЛА обухватају следеће врсте услуга: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Редовно сервисирање возила;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- Ванредно одржавање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НАПОМЕНА: </w:t>
      </w:r>
      <w:r>
        <w:rPr>
          <w:rFonts w:ascii="Arial" w:hAnsi="Arial"/>
          <w:sz w:val="22"/>
          <w:szCs w:val="22"/>
        </w:rPr>
        <w:t xml:space="preserve">  Пружалац услуге </w:t>
      </w:r>
      <w:r>
        <w:rPr>
          <w:rFonts w:ascii="Arial" w:hAnsi="Arial"/>
          <w:b/>
          <w:sz w:val="22"/>
          <w:szCs w:val="22"/>
        </w:rPr>
        <w:t xml:space="preserve">мора бити овлашћен од произвођача возила </w:t>
      </w:r>
      <w:r>
        <w:rPr>
          <w:rFonts w:ascii="Arial" w:hAnsi="Arial"/>
          <w:sz w:val="22"/>
          <w:szCs w:val="22"/>
        </w:rPr>
        <w:t xml:space="preserve">за вршење услуге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сервисирања и одржавања возила.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Јавном набавком се не мења и не утиче на права и обавезе која се</w:t>
      </w:r>
    </w:p>
    <w:p>
      <w:pPr>
        <w:pStyle w:val="Normal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</w:rPr>
        <w:t>односе на гарантни период за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1.1. РЕДОВНО СЕРВИСИРАЊЕ ВОЗИЛА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Редовно сервисирање возила обухвата пружање услуга и замену делова и материјала, према препоруци произвођача возила у сервисној књижици, на одређени број пређених километара, односно на одређени временски период.Редовно сервисирање врши се по писаном радном налогу Наручиоца.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1.2. ВАНРЕДНО ОДРЖАВАЊЕ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Ванредно одржавање возила обухвата поправку и отклањање уочених кварова инеисправности на возилу и његово стављање у редовну функцију.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Ванредном одржавању возила Пружалац услуге приступа након што се Наручилац</w:t>
      </w:r>
    </w:p>
    <w:p>
      <w:pPr>
        <w:pStyle w:val="Normal"/>
        <w:spacing w:before="0" w:after="46"/>
        <w:jc w:val="left"/>
        <w:rPr/>
      </w:pPr>
      <w:r>
        <w:rPr>
          <w:rFonts w:ascii="Arial" w:hAnsi="Arial"/>
          <w:sz w:val="22"/>
          <w:szCs w:val="22"/>
        </w:rPr>
        <w:t>писаним путем сагласи са резултатом детекције, односно утврђеним кваровима,те врстом и количином потребних услуга, резервних делова и/или материјала заотклањање насталог квара.</w:t>
      </w:r>
    </w:p>
    <w:p>
      <w:pPr>
        <w:pStyle w:val="Normal"/>
        <w:spacing w:before="0" w:after="46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У процени вредности ванредног одржавања примењују се цене изражене у понуди у </w:t>
      </w:r>
      <w:r>
        <w:rPr>
          <w:rFonts w:ascii="Arial" w:hAnsi="Arial"/>
          <w:b w:val="false"/>
          <w:bCs w:val="false"/>
          <w:sz w:val="22"/>
          <w:szCs w:val="22"/>
        </w:rPr>
        <w:t>Обрасцу структуре цене</w:t>
      </w:r>
      <w:r>
        <w:rPr>
          <w:rFonts w:ascii="Arial" w:hAnsi="Arial"/>
          <w:sz w:val="22"/>
          <w:szCs w:val="22"/>
        </w:rPr>
        <w:t>, када отклањање кварова и неисправности подразумева услугу и резервне делове који су наведени у табели.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Предмет ове јавне набавке је и набавка услуга и резервних делова који нису могли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бити предвиђени по количини и/или врсти у овој конкурсној документацији идостављеним понудама, односно коју су ван редовног сервисирања и ванредног одржавања возила представљених кроз техничке спецификације и Образац структуре цене у овој конкурсној документацији.  Цене материјала и резервних делова које су представљене у процени не могу бити изнад тржишно упоредивих цена и </w:t>
      </w:r>
      <w:r>
        <w:rPr>
          <w:rFonts w:ascii="Arial" w:hAnsi="Arial"/>
          <w:b w:val="false"/>
          <w:bCs w:val="false"/>
          <w:sz w:val="22"/>
          <w:szCs w:val="22"/>
        </w:rPr>
        <w:t>важећих цена у званичном ценовнику Пружаоца услуга.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Наручилац задржава право да након што је обавештен о процени Пружаоца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услуга,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одустане од отклањања кварова или неисправности када процени да је отклањање истих у несразмерној вредности са вредношћу возила или уколико утврди да цена није у складу са понуђеним ценама, односно није у складу са велепродајним ценама на тржишту уколико су у питању цене резервних делова иматеријала који нису исказани у Обрасцу структуре цене.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 РОК ИЗВРШЕЊА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почетка извршења услуге (преузимање возила на рад) не може бити дужи од 1 радног дана од дана пријема возила и радног налога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редовног сервисирања возила, мањих поправки у склопу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ванредног одржавања возила не може бити дужи од 2 радна дана од дана када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Пружалац услуге преузме возило на рад.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за веће поправке у склопу ванредног одржавања возила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не може бити дужи од 5 радних дана од дана када Пружалац услуге преузме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возило на рад.</w:t>
      </w:r>
    </w:p>
    <w:p>
      <w:pPr>
        <w:pStyle w:val="Normal"/>
        <w:spacing w:before="0" w:after="160"/>
        <w:jc w:val="lef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Изузетно, када се квар не може отклонити у том року, Наручилац и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Пружалац услуге постижу сагласност о разумном року извршења услуге.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455166904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408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LibreOffice/7.3.2.2$Windows_X86_64 LibreOffice_project/49f2b1bff42cfccbd8f788c8dc32c1c309559be0</Application>
  <AppVersion>15.0000</AppVersion>
  <Pages>2</Pages>
  <Words>442</Words>
  <Characters>2553</Characters>
  <CharactersWithSpaces>2972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2025-02-11T12:41:55Z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